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240"/>
        <w:jc w:val="center"/>
      </w:pPr>
      <w:r>
        <w:rPr>
          <w:rFonts w:ascii="Times New Roman" w:hAnsi="Times New Roman"/>
          <w:b/>
          <w:color w:val="000000"/>
          <w:sz w:val="48"/>
        </w:rPr>
        <w:t>An Efficient Deep Learning Framework for Large-Scale Data Analysis and Computational Intelligence</w:t>
      </w:r>
    </w:p>
    <w:p>
      <w:pPr>
        <w:spacing w:after="360"/>
        <w:jc w:val="center"/>
      </w:pPr>
      <w:r>
        <w:rPr>
          <w:rFonts w:ascii="Times New Roman" w:hAnsi="Times New Roman"/>
          <w:i/>
          <w:sz w:val="22"/>
        </w:rPr>
        <w:t>Anonymized Author(s) for Double-Blind Peer Review</w:t>
      </w:r>
    </w:p>
    <w:p>
      <w:pPr>
        <w:spacing w:before="120" w:after="80"/>
      </w:pPr>
      <w:r>
        <w:rPr>
          <w:rFonts w:ascii="Times New Roman" w:hAnsi="Times New Roman"/>
          <w:b/>
          <w:i/>
          <w:sz w:val="19"/>
        </w:rPr>
        <w:t>Abstract—</w:t>
      </w:r>
      <w:r>
        <w:rPr>
          <w:rFonts w:ascii="Times New Roman" w:hAnsi="Times New Roman"/>
          <w:b/>
          <w:sz w:val="19"/>
        </w:rPr>
        <w:t>This document demonstrates the standard IEEE sample manuscript format formatted for submission to the Journal of Applied Data Science and Computational Intelligence (JADSCI). The abstract should present a concise, self-contained summary of the paper's scope, objective, methodology, key findings, and practical contributions (150–200 words). Avoid citations, mathematical formulas, or non-standard abbreviations within the abstract.</w:t>
      </w:r>
    </w:p>
    <w:p>
      <w:pPr>
        <w:spacing w:before="80" w:after="360"/>
      </w:pPr>
      <w:r>
        <w:rPr>
          <w:rFonts w:ascii="Times New Roman" w:hAnsi="Times New Roman"/>
          <w:b/>
          <w:i/>
          <w:sz w:val="19"/>
        </w:rPr>
        <w:t>Keywords—</w:t>
      </w:r>
      <w:r>
        <w:rPr>
          <w:rFonts w:ascii="Times New Roman" w:hAnsi="Times New Roman"/>
          <w:i/>
          <w:sz w:val="19"/>
        </w:rPr>
        <w:t>Computational intelligence, deep learning, data science, stochastic optimization, IEEE format.</w:t>
      </w:r>
    </w:p>
    <w:p>
      <w:pPr>
        <w:spacing w:before="280" w:after="120"/>
        <w:jc w:val="center"/>
      </w:pPr>
      <w:r>
        <w:rPr>
          <w:rFonts w:ascii="Times New Roman" w:hAnsi="Times New Roman"/>
          <w:b/>
          <w:sz w:val="20"/>
        </w:rPr>
        <w:t>I. INTRODUCTION</w:t>
      </w:r>
    </w:p>
    <w:p>
      <w:pPr>
        <w:spacing w:before="0" w:after="80" w:line="276" w:lineRule="auto"/>
        <w:jc w:val="both"/>
      </w:pPr>
      <w:r>
        <w:rPr>
          <w:rFonts w:ascii="Times New Roman" w:hAnsi="Times New Roman"/>
          <w:sz w:val="20"/>
        </w:rPr>
        <w:t>With the rapid proliferation of high-dimensional datasets in modern computational ecosystems, data science requires scalable, robust, and computationally efficient algorithms. Computational intelligence models, including neural architectures and stochastic optimization frameworks, have demonstrated unprecedented performance across complex analytical tasks.</w:t>
      </w:r>
    </w:p>
    <w:p>
      <w:pPr>
        <w:spacing w:before="0" w:after="80" w:line="276" w:lineRule="auto"/>
        <w:ind w:firstLine="288"/>
        <w:jc w:val="both"/>
      </w:pPr>
      <w:r>
        <w:rPr>
          <w:rFonts w:ascii="Times New Roman" w:hAnsi="Times New Roman"/>
          <w:sz w:val="20"/>
        </w:rPr>
        <w:t>This template provides authors with a complete reference layout compliant with the formatting specifications of the Journal of Applied Data Science and Computational Intelligence (JADSCI). Authors are instructed to prepare their manuscripts following strict technical clarity, structured referencing, and double-blind peer review anonymization.</w:t>
      </w:r>
    </w:p>
    <w:p>
      <w:pPr>
        <w:spacing w:before="280" w:after="120"/>
        <w:jc w:val="center"/>
      </w:pPr>
      <w:r>
        <w:rPr>
          <w:rFonts w:ascii="Times New Roman" w:hAnsi="Times New Roman"/>
          <w:b/>
          <w:sz w:val="20"/>
        </w:rPr>
        <w:t>II. RELATED WORK</w:t>
      </w:r>
    </w:p>
    <w:p>
      <w:pPr>
        <w:spacing w:before="0" w:after="80" w:line="276" w:lineRule="auto"/>
        <w:jc w:val="both"/>
      </w:pPr>
      <w:r>
        <w:rPr>
          <w:rFonts w:ascii="Times New Roman" w:hAnsi="Times New Roman"/>
          <w:sz w:val="20"/>
        </w:rPr>
        <w:t>Recent advances in high-dimensional stochastic processes and predictive analytics are thoroughly detailed in classical literature [1]. Foundational formulations of stochastic integration provided by Ito [2] established critical paradigms for modern mathematical modeling, while comprehensive analytical treatments by McKean [3] expanded these principles to applied engineering disciplines.</w:t>
      </w:r>
    </w:p>
    <w:p>
      <w:pPr>
        <w:spacing w:before="0" w:after="80" w:line="276" w:lineRule="auto"/>
        <w:ind w:firstLine="288"/>
        <w:jc w:val="both"/>
      </w:pPr>
      <w:r>
        <w:rPr>
          <w:rFonts w:ascii="Times New Roman" w:hAnsi="Times New Roman"/>
          <w:sz w:val="20"/>
        </w:rPr>
        <w:t>Authors should ensure all cited literature is referenced in sequential numerical order using bracketed numerals [1], [2], [3], matching their exact appearance in the text.</w:t>
      </w:r>
    </w:p>
    <w:p>
      <w:pPr>
        <w:spacing w:before="280" w:after="120"/>
        <w:jc w:val="center"/>
      </w:pPr>
      <w:r>
        <w:rPr>
          <w:rFonts w:ascii="Times New Roman" w:hAnsi="Times New Roman"/>
          <w:b/>
          <w:sz w:val="20"/>
        </w:rPr>
        <w:t>III. METHODOLOGY</w:t>
      </w:r>
    </w:p>
    <w:p>
      <w:pPr>
        <w:spacing w:before="0" w:after="80" w:line="276" w:lineRule="auto"/>
        <w:jc w:val="both"/>
      </w:pPr>
      <w:r>
        <w:rPr>
          <w:rFonts w:ascii="Times New Roman" w:hAnsi="Times New Roman"/>
          <w:sz w:val="20"/>
        </w:rPr>
        <w:t>In this section, authors must articulate the analytical framework, algorithmic design, and mathematical formulations governing their proposed method.</w:t>
      </w:r>
    </w:p>
    <w:p>
      <w:pPr>
        <w:spacing w:before="200" w:after="80"/>
      </w:pPr>
      <w:r>
        <w:rPr>
          <w:rFonts w:ascii="Times New Roman" w:hAnsi="Times New Roman"/>
          <w:i/>
          <w:sz w:val="20"/>
        </w:rPr>
        <w:t>A. Mathematical Formulation</w:t>
      </w:r>
    </w:p>
    <w:p>
      <w:pPr>
        <w:spacing w:before="0" w:after="80" w:line="276" w:lineRule="auto"/>
        <w:ind w:firstLine="288"/>
        <w:jc w:val="both"/>
      </w:pPr>
      <w:r>
        <w:rPr>
          <w:rFonts w:ascii="Times New Roman" w:hAnsi="Times New Roman"/>
          <w:sz w:val="20"/>
        </w:rPr>
        <w:t>Let D = {(x_i, y_i)}_{i=1}^{N} represent a multi-dimensional dataset where x_i in R^d represents input feature vectors and y_i represents corresponding target labels. The global objective function J(theta) optimized during training is defined as:</w:t>
      </w:r>
    </w:p>
    <w:p>
      <w:pPr>
        <w:spacing w:before="160" w:after="160"/>
        <w:jc w:val="center"/>
      </w:pPr>
      <w:r>
        <w:rPr>
          <w:rFonts w:ascii="Times New Roman" w:hAnsi="Times New Roman"/>
          <w:i/>
          <w:sz w:val="20"/>
        </w:rPr>
        <w:t>J(θ) = (1 / N) ∑_{i=1}^{N} L(f(x_i; θ), y_i) + λ ||θ||_2^2   (1)</w:t>
      </w:r>
    </w:p>
    <w:p>
      <w:pPr>
        <w:spacing w:before="0" w:after="80" w:line="276" w:lineRule="auto"/>
        <w:ind w:firstLine="288"/>
        <w:jc w:val="both"/>
      </w:pPr>
      <w:r>
        <w:rPr>
          <w:rFonts w:ascii="Times New Roman" w:hAnsi="Times New Roman"/>
          <w:sz w:val="20"/>
        </w:rPr>
        <w:t>where L(·) denotes the task-specific loss function, θ represents the trainable parameter vector, and λ &gt; 0 serves as the L2-norm regularization hyperparameter to prevent overfitting.</w:t>
      </w:r>
    </w:p>
    <w:p>
      <w:pPr>
        <w:spacing w:before="280" w:after="120"/>
        <w:jc w:val="center"/>
      </w:pPr>
      <w:r>
        <w:rPr>
          <w:rFonts w:ascii="Times New Roman" w:hAnsi="Times New Roman"/>
          <w:b/>
          <w:sz w:val="20"/>
        </w:rPr>
        <w:t>IV. EXPERIMENTAL RESULTS</w:t>
      </w:r>
    </w:p>
    <w:p>
      <w:pPr>
        <w:spacing w:before="0" w:after="80" w:line="276" w:lineRule="auto"/>
        <w:jc w:val="both"/>
      </w:pPr>
      <w:r>
        <w:rPr>
          <w:rFonts w:ascii="Times New Roman" w:hAnsi="Times New Roman"/>
          <w:sz w:val="20"/>
        </w:rPr>
        <w:t>Experimental results should be validated against state-of-the-art baselines using standard empirical metrics such as Accuracy, Precision, Recall, and F1-Score.</w:t>
      </w:r>
    </w:p>
    <w:p>
      <w:pPr>
        <w:spacing w:before="200" w:after="80"/>
      </w:pPr>
      <w:r>
        <w:rPr>
          <w:rFonts w:ascii="Times New Roman" w:hAnsi="Times New Roman"/>
          <w:i/>
          <w:sz w:val="20"/>
        </w:rPr>
        <w:t>A. Performance Comparison</w:t>
      </w:r>
    </w:p>
    <w:p>
      <w:pPr>
        <w:spacing w:before="0" w:after="80" w:line="276" w:lineRule="auto"/>
        <w:ind w:firstLine="288"/>
        <w:jc w:val="both"/>
      </w:pPr>
      <w:r>
        <w:rPr>
          <w:rFonts w:ascii="Times New Roman" w:hAnsi="Times New Roman"/>
          <w:sz w:val="20"/>
        </w:rPr>
        <w:t>Table I summarizes the empirical performance comparison between the baseline models and the proposed computational intelligence pipeline across multi-class datasets.</w:t>
      </w:r>
    </w:p>
    <w:p>
      <w:pPr>
        <w:spacing w:before="200" w:after="80"/>
        <w:jc w:val="center"/>
      </w:pPr>
      <w:r>
        <w:rPr>
          <w:rFonts w:ascii="Times New Roman" w:hAnsi="Times New Roman"/>
          <w:b/>
          <w:sz w:val="18"/>
        </w:rPr>
        <w:t>TABLE I</w:t>
        <w:br/>
        <w:t>PERFORMANCE COMPARISON ACROSS DATASETS</w:t>
      </w:r>
    </w:p>
    <w:tbl>
      <w:tblPr>
        <w:tblW w:type="auto" w:w="0"/>
        <w:jc w:val="center"/>
        <w:tblLook w:firstColumn="1" w:firstRow="1" w:lastColumn="0" w:lastRow="0" w:noHBand="0" w:noVBand="1" w:val="04A0"/>
      </w:tblPr>
      <w:tblGrid>
        <w:gridCol w:w="2520"/>
        <w:gridCol w:w="2520"/>
        <w:gridCol w:w="2520"/>
        <w:gridCol w:w="2520"/>
      </w:tblGrid>
      <w:tr>
        <w:tc>
          <w:tcPr>
            <w:tcW w:type="dxa" w:w="2520"/>
            <w:tcMar>
              <w:top w:w="120" w:type="dxa"/>
              <w:bottom w:w="120" w:type="dxa"/>
              <w:left w:w="150" w:type="dxa"/>
              <w:right w:w="150" w:type="dxa"/>
            </w:tcMar>
            <w:shd w:fill="F2F2F2"/>
            <w:tcBorders>
              <w:top w:val="single" w:sz="12" w:space="0" w:color="000000"/>
              <w:bottom w:val="single" w:sz="12" w:space="0" w:color="000000"/>
              <w:left w:val="none"/>
              <w:right w:val="none"/>
            </w:tcBorders>
          </w:tcPr>
          <w:p>
            <w:pPr>
              <w:jc w:val="left"/>
            </w:pPr>
            <w:r>
              <w:rPr>
                <w:rFonts w:ascii="Times New Roman" w:hAnsi="Times New Roman"/>
                <w:b/>
                <w:sz w:val="17"/>
              </w:rPr>
              <w:t>Model Architecture</w:t>
            </w:r>
          </w:p>
        </w:tc>
        <w:tc>
          <w:tcPr>
            <w:tcW w:type="dxa" w:w="2520"/>
            <w:tcMar>
              <w:top w:w="120" w:type="dxa"/>
              <w:bottom w:w="120" w:type="dxa"/>
              <w:left w:w="150" w:type="dxa"/>
              <w:right w:w="150" w:type="dxa"/>
            </w:tcMar>
            <w:shd w:fill="F2F2F2"/>
            <w:tcBorders>
              <w:top w:val="single" w:sz="12" w:space="0" w:color="000000"/>
              <w:bottom w:val="single" w:sz="12" w:space="0" w:color="000000"/>
              <w:left w:val="none"/>
              <w:right w:val="none"/>
            </w:tcBorders>
          </w:tcPr>
          <w:p>
            <w:pPr>
              <w:jc w:val="center"/>
            </w:pPr>
            <w:r>
              <w:rPr>
                <w:rFonts w:ascii="Times New Roman" w:hAnsi="Times New Roman"/>
                <w:b/>
                <w:sz w:val="17"/>
              </w:rPr>
              <w:t>Accuracy (%)</w:t>
            </w:r>
          </w:p>
        </w:tc>
        <w:tc>
          <w:tcPr>
            <w:tcW w:type="dxa" w:w="2520"/>
            <w:tcMar>
              <w:top w:w="120" w:type="dxa"/>
              <w:bottom w:w="120" w:type="dxa"/>
              <w:left w:w="150" w:type="dxa"/>
              <w:right w:w="150" w:type="dxa"/>
            </w:tcMar>
            <w:shd w:fill="F2F2F2"/>
            <w:tcBorders>
              <w:top w:val="single" w:sz="12" w:space="0" w:color="000000"/>
              <w:bottom w:val="single" w:sz="12" w:space="0" w:color="000000"/>
              <w:left w:val="none"/>
              <w:right w:val="none"/>
            </w:tcBorders>
          </w:tcPr>
          <w:p>
            <w:pPr>
              <w:jc w:val="center"/>
            </w:pPr>
            <w:r>
              <w:rPr>
                <w:rFonts w:ascii="Times New Roman" w:hAnsi="Times New Roman"/>
                <w:b/>
                <w:sz w:val="17"/>
              </w:rPr>
              <w:t>Precision</w:t>
            </w:r>
          </w:p>
        </w:tc>
        <w:tc>
          <w:tcPr>
            <w:tcW w:type="dxa" w:w="2520"/>
            <w:tcMar>
              <w:top w:w="120" w:type="dxa"/>
              <w:bottom w:w="120" w:type="dxa"/>
              <w:left w:w="150" w:type="dxa"/>
              <w:right w:w="150" w:type="dxa"/>
            </w:tcMar>
            <w:shd w:fill="F2F2F2"/>
            <w:tcBorders>
              <w:top w:val="single" w:sz="12" w:space="0" w:color="000000"/>
              <w:bottom w:val="single" w:sz="12" w:space="0" w:color="000000"/>
              <w:left w:val="none"/>
              <w:right w:val="none"/>
            </w:tcBorders>
          </w:tcPr>
          <w:p>
            <w:pPr>
              <w:jc w:val="center"/>
            </w:pPr>
            <w:r>
              <w:rPr>
                <w:rFonts w:ascii="Times New Roman" w:hAnsi="Times New Roman"/>
                <w:b/>
                <w:sz w:val="17"/>
              </w:rPr>
              <w:t>F1-Score</w:t>
            </w:r>
          </w:p>
        </w:tc>
      </w:tr>
      <w:tr>
        <w:tc>
          <w:tcPr>
            <w:tcW w:type="dxa" w:w="2520"/>
            <w:tcMar>
              <w:top w:w="100" w:type="dxa"/>
              <w:bottom w:w="100" w:type="dxa"/>
              <w:left w:w="150" w:type="dxa"/>
              <w:right w:w="150" w:type="dxa"/>
            </w:tcMar>
            <w:tcBorders>
              <w:top w:val="none"/>
              <w:bottom w:val="single" w:sz="4" w:space="0" w:color="000000"/>
              <w:left w:val="none"/>
              <w:right w:val="none"/>
            </w:tcBorders>
          </w:tcPr>
          <w:p>
            <w:pPr>
              <w:jc w:val="left"/>
            </w:pPr>
            <w:r>
              <w:rPr>
                <w:rFonts w:ascii="Times New Roman" w:hAnsi="Times New Roman"/>
                <w:sz w:val="17"/>
              </w:rPr>
              <w:t>Baseline Model</w:t>
            </w:r>
          </w:p>
        </w:tc>
        <w:tc>
          <w:tcPr>
            <w:tcW w:type="dxa" w:w="2520"/>
            <w:tcMar>
              <w:top w:w="100" w:type="dxa"/>
              <w:bottom w:w="100" w:type="dxa"/>
              <w:left w:w="150" w:type="dxa"/>
              <w:right w:w="150" w:type="dxa"/>
            </w:tcMar>
            <w:tcBorders>
              <w:top w:val="none"/>
              <w:bottom w:val="single" w:sz="4" w:space="0" w:color="000000"/>
              <w:left w:val="none"/>
              <w:right w:val="none"/>
            </w:tcBorders>
          </w:tcPr>
          <w:p>
            <w:pPr>
              <w:jc w:val="center"/>
            </w:pPr>
            <w:r>
              <w:rPr>
                <w:rFonts w:ascii="Times New Roman" w:hAnsi="Times New Roman"/>
                <w:sz w:val="17"/>
              </w:rPr>
              <w:t>85.4</w:t>
            </w:r>
          </w:p>
        </w:tc>
        <w:tc>
          <w:tcPr>
            <w:tcW w:type="dxa" w:w="2520"/>
            <w:tcMar>
              <w:top w:w="100" w:type="dxa"/>
              <w:bottom w:w="100" w:type="dxa"/>
              <w:left w:w="150" w:type="dxa"/>
              <w:right w:w="150" w:type="dxa"/>
            </w:tcMar>
            <w:tcBorders>
              <w:top w:val="none"/>
              <w:bottom w:val="single" w:sz="4" w:space="0" w:color="000000"/>
              <w:left w:val="none"/>
              <w:right w:val="none"/>
            </w:tcBorders>
          </w:tcPr>
          <w:p>
            <w:pPr>
              <w:jc w:val="center"/>
            </w:pPr>
            <w:r>
              <w:rPr>
                <w:rFonts w:ascii="Times New Roman" w:hAnsi="Times New Roman"/>
                <w:sz w:val="17"/>
              </w:rPr>
              <w:t>0.84</w:t>
            </w:r>
          </w:p>
        </w:tc>
        <w:tc>
          <w:tcPr>
            <w:tcW w:type="dxa" w:w="2520"/>
            <w:tcMar>
              <w:top w:w="100" w:type="dxa"/>
              <w:bottom w:w="100" w:type="dxa"/>
              <w:left w:w="150" w:type="dxa"/>
              <w:right w:w="150" w:type="dxa"/>
            </w:tcMar>
            <w:tcBorders>
              <w:top w:val="none"/>
              <w:bottom w:val="single" w:sz="4" w:space="0" w:color="000000"/>
              <w:left w:val="none"/>
              <w:right w:val="none"/>
            </w:tcBorders>
          </w:tcPr>
          <w:p>
            <w:pPr>
              <w:jc w:val="center"/>
            </w:pPr>
            <w:r>
              <w:rPr>
                <w:rFonts w:ascii="Times New Roman" w:hAnsi="Times New Roman"/>
                <w:sz w:val="17"/>
              </w:rPr>
              <w:t>0.84</w:t>
            </w:r>
          </w:p>
        </w:tc>
      </w:tr>
      <w:tr>
        <w:tc>
          <w:tcPr>
            <w:tcW w:type="dxa" w:w="2520"/>
            <w:tcMar>
              <w:top w:w="100" w:type="dxa"/>
              <w:bottom w:w="100" w:type="dxa"/>
              <w:left w:w="150" w:type="dxa"/>
              <w:right w:w="150" w:type="dxa"/>
            </w:tcMar>
            <w:tcBorders>
              <w:top w:val="none"/>
              <w:bottom w:val="single" w:sz="4" w:space="0" w:color="000000"/>
              <w:left w:val="none"/>
              <w:right w:val="none"/>
            </w:tcBorders>
          </w:tcPr>
          <w:p>
            <w:pPr>
              <w:jc w:val="left"/>
            </w:pPr>
            <w:r>
              <w:rPr>
                <w:rFonts w:ascii="Times New Roman" w:hAnsi="Times New Roman"/>
                <w:sz w:val="17"/>
              </w:rPr>
              <w:t>Stochastic Net</w:t>
            </w:r>
          </w:p>
        </w:tc>
        <w:tc>
          <w:tcPr>
            <w:tcW w:type="dxa" w:w="2520"/>
            <w:tcMar>
              <w:top w:w="100" w:type="dxa"/>
              <w:bottom w:w="100" w:type="dxa"/>
              <w:left w:w="150" w:type="dxa"/>
              <w:right w:w="150" w:type="dxa"/>
            </w:tcMar>
            <w:tcBorders>
              <w:top w:val="none"/>
              <w:bottom w:val="single" w:sz="4" w:space="0" w:color="000000"/>
              <w:left w:val="none"/>
              <w:right w:val="none"/>
            </w:tcBorders>
          </w:tcPr>
          <w:p>
            <w:pPr>
              <w:jc w:val="center"/>
            </w:pPr>
            <w:r>
              <w:rPr>
                <w:rFonts w:ascii="Times New Roman" w:hAnsi="Times New Roman"/>
                <w:sz w:val="17"/>
              </w:rPr>
              <w:t>89.2</w:t>
            </w:r>
          </w:p>
        </w:tc>
        <w:tc>
          <w:tcPr>
            <w:tcW w:type="dxa" w:w="2520"/>
            <w:tcMar>
              <w:top w:w="100" w:type="dxa"/>
              <w:bottom w:w="100" w:type="dxa"/>
              <w:left w:w="150" w:type="dxa"/>
              <w:right w:w="150" w:type="dxa"/>
            </w:tcMar>
            <w:tcBorders>
              <w:top w:val="none"/>
              <w:bottom w:val="single" w:sz="4" w:space="0" w:color="000000"/>
              <w:left w:val="none"/>
              <w:right w:val="none"/>
            </w:tcBorders>
          </w:tcPr>
          <w:p>
            <w:pPr>
              <w:jc w:val="center"/>
            </w:pPr>
            <w:r>
              <w:rPr>
                <w:rFonts w:ascii="Times New Roman" w:hAnsi="Times New Roman"/>
                <w:sz w:val="17"/>
              </w:rPr>
              <w:t>0.88</w:t>
            </w:r>
          </w:p>
        </w:tc>
        <w:tc>
          <w:tcPr>
            <w:tcW w:type="dxa" w:w="2520"/>
            <w:tcMar>
              <w:top w:w="100" w:type="dxa"/>
              <w:bottom w:w="100" w:type="dxa"/>
              <w:left w:w="150" w:type="dxa"/>
              <w:right w:w="150" w:type="dxa"/>
            </w:tcMar>
            <w:tcBorders>
              <w:top w:val="none"/>
              <w:bottom w:val="single" w:sz="4" w:space="0" w:color="000000"/>
              <w:left w:val="none"/>
              <w:right w:val="none"/>
            </w:tcBorders>
          </w:tcPr>
          <w:p>
            <w:pPr>
              <w:jc w:val="center"/>
            </w:pPr>
            <w:r>
              <w:rPr>
                <w:rFonts w:ascii="Times New Roman" w:hAnsi="Times New Roman"/>
                <w:sz w:val="17"/>
              </w:rPr>
              <w:t>0.89</w:t>
            </w:r>
          </w:p>
        </w:tc>
      </w:tr>
      <w:tr>
        <w:tc>
          <w:tcPr>
            <w:tcW w:type="dxa" w:w="2520"/>
            <w:tcMar>
              <w:top w:w="100" w:type="dxa"/>
              <w:bottom w:w="100" w:type="dxa"/>
              <w:left w:w="150" w:type="dxa"/>
              <w:right w:w="150" w:type="dxa"/>
            </w:tcMar>
            <w:tcBorders>
              <w:top w:val="none"/>
              <w:bottom w:val="single" w:sz="12" w:space="0" w:color="000000"/>
              <w:left w:val="none"/>
              <w:right w:val="none"/>
            </w:tcBorders>
          </w:tcPr>
          <w:p>
            <w:pPr>
              <w:jc w:val="left"/>
            </w:pPr>
            <w:r>
              <w:rPr>
                <w:rFonts w:ascii="Times New Roman" w:hAnsi="Times New Roman"/>
                <w:b/>
                <w:sz w:val="17"/>
              </w:rPr>
              <w:t>Proposed Method</w:t>
            </w:r>
          </w:p>
        </w:tc>
        <w:tc>
          <w:tcPr>
            <w:tcW w:type="dxa" w:w="2520"/>
            <w:tcMar>
              <w:top w:w="100" w:type="dxa"/>
              <w:bottom w:w="100" w:type="dxa"/>
              <w:left w:w="150" w:type="dxa"/>
              <w:right w:w="150" w:type="dxa"/>
            </w:tcMar>
            <w:tcBorders>
              <w:top w:val="none"/>
              <w:bottom w:val="single" w:sz="12" w:space="0" w:color="000000"/>
              <w:left w:val="none"/>
              <w:right w:val="none"/>
            </w:tcBorders>
          </w:tcPr>
          <w:p>
            <w:pPr>
              <w:jc w:val="center"/>
            </w:pPr>
            <w:r>
              <w:rPr>
                <w:rFonts w:ascii="Times New Roman" w:hAnsi="Times New Roman"/>
                <w:b/>
                <w:sz w:val="17"/>
              </w:rPr>
              <w:t>94.6</w:t>
            </w:r>
          </w:p>
        </w:tc>
        <w:tc>
          <w:tcPr>
            <w:tcW w:type="dxa" w:w="2520"/>
            <w:tcMar>
              <w:top w:w="100" w:type="dxa"/>
              <w:bottom w:w="100" w:type="dxa"/>
              <w:left w:w="150" w:type="dxa"/>
              <w:right w:w="150" w:type="dxa"/>
            </w:tcMar>
            <w:tcBorders>
              <w:top w:val="none"/>
              <w:bottom w:val="single" w:sz="12" w:space="0" w:color="000000"/>
              <w:left w:val="none"/>
              <w:right w:val="none"/>
            </w:tcBorders>
          </w:tcPr>
          <w:p>
            <w:pPr>
              <w:jc w:val="center"/>
            </w:pPr>
            <w:r>
              <w:rPr>
                <w:rFonts w:ascii="Times New Roman" w:hAnsi="Times New Roman"/>
                <w:b/>
                <w:sz w:val="17"/>
              </w:rPr>
              <w:t>0.94</w:t>
            </w:r>
          </w:p>
        </w:tc>
        <w:tc>
          <w:tcPr>
            <w:tcW w:type="dxa" w:w="2520"/>
            <w:tcMar>
              <w:top w:w="100" w:type="dxa"/>
              <w:bottom w:w="100" w:type="dxa"/>
              <w:left w:w="150" w:type="dxa"/>
              <w:right w:w="150" w:type="dxa"/>
            </w:tcMar>
            <w:tcBorders>
              <w:top w:val="none"/>
              <w:bottom w:val="single" w:sz="12" w:space="0" w:color="000000"/>
              <w:left w:val="none"/>
              <w:right w:val="none"/>
            </w:tcBorders>
          </w:tcPr>
          <w:p>
            <w:pPr>
              <w:jc w:val="center"/>
            </w:pPr>
            <w:r>
              <w:rPr>
                <w:rFonts w:ascii="Times New Roman" w:hAnsi="Times New Roman"/>
                <w:b/>
                <w:sz w:val="17"/>
              </w:rPr>
              <w:t>0.94</w:t>
            </w:r>
          </w:p>
        </w:tc>
      </w:tr>
    </w:tbl>
    <w:p>
      <w:pPr>
        <w:spacing w:before="200" w:after="80"/>
      </w:pPr>
      <w:r>
        <w:rPr>
          <w:rFonts w:ascii="Times New Roman" w:hAnsi="Times New Roman"/>
          <w:i/>
          <w:sz w:val="20"/>
        </w:rPr>
        <w:t>B. Figure Formatting</w:t>
      </w:r>
    </w:p>
    <w:p>
      <w:pPr>
        <w:spacing w:before="0" w:after="80" w:line="276" w:lineRule="auto"/>
        <w:ind w:firstLine="288"/>
        <w:jc w:val="both"/>
      </w:pPr>
      <w:r>
        <w:rPr>
          <w:rFonts w:ascii="Times New Roman" w:hAnsi="Times New Roman"/>
          <w:sz w:val="20"/>
        </w:rPr>
        <w:t>All figures must be cited sequentially in the main text (e.g., Fig. 1). Graphics must be high resolution with clearly legible axis labels and legends.</w:t>
      </w:r>
    </w:p>
    <w:p>
      <w:pPr>
        <w:spacing w:before="240" w:after="80"/>
        <w:jc w:val="center"/>
      </w:pPr>
      <w:r>
        <w:rPr>
          <w:rFonts w:ascii="Times New Roman" w:hAnsi="Times New Roman"/>
          <w:i/>
          <w:color w:val="646464"/>
          <w:sz w:val="18"/>
        </w:rPr>
        <w:t>[ High-Resolution Vector Diagram / Architecture Diagram Placeholder ]</w:t>
      </w:r>
    </w:p>
    <w:p>
      <w:pPr>
        <w:spacing w:before="40" w:after="240"/>
        <w:jc w:val="center"/>
      </w:pPr>
      <w:r>
        <w:rPr>
          <w:rFonts w:ascii="Times New Roman" w:hAnsi="Times New Roman"/>
          <w:b/>
          <w:sz w:val="17"/>
        </w:rPr>
        <w:t xml:space="preserve">Fig. 1. </w:t>
      </w:r>
      <w:r>
        <w:rPr>
          <w:rFonts w:ascii="Times New Roman" w:hAnsi="Times New Roman"/>
          <w:sz w:val="17"/>
        </w:rPr>
        <w:t>Overall end-to-end architecture of the proposed computational intelligence framework.</w:t>
      </w:r>
    </w:p>
    <w:p>
      <w:pPr>
        <w:spacing w:before="280" w:after="120"/>
        <w:jc w:val="center"/>
      </w:pPr>
      <w:r>
        <w:rPr>
          <w:rFonts w:ascii="Times New Roman" w:hAnsi="Times New Roman"/>
          <w:b/>
          <w:sz w:val="20"/>
        </w:rPr>
        <w:t>V. CONCLUSION</w:t>
      </w:r>
    </w:p>
    <w:p>
      <w:pPr>
        <w:spacing w:before="0" w:after="80" w:line="276" w:lineRule="auto"/>
        <w:jc w:val="both"/>
      </w:pPr>
      <w:r>
        <w:rPr>
          <w:rFonts w:ascii="Times New Roman" w:hAnsi="Times New Roman"/>
          <w:sz w:val="20"/>
        </w:rPr>
        <w:t>This document outlines the standard structural and typographic requirements for submitting research manuscripts in Word format to the Journal of Applied Data Science and Computational Intelligence. Compliance with these IEEE guidelines accelerates the peer-review and editorial production workflow.</w:t>
      </w:r>
    </w:p>
    <w:p>
      <w:pPr>
        <w:spacing w:before="280" w:after="120"/>
        <w:jc w:val="center"/>
      </w:pPr>
      <w:r>
        <w:rPr>
          <w:rFonts w:ascii="Times New Roman" w:hAnsi="Times New Roman"/>
          <w:b/>
          <w:sz w:val="20"/>
        </w:rPr>
        <w:t>REFERENCES</w:t>
      </w:r>
    </w:p>
    <w:p>
      <w:pPr>
        <w:spacing w:before="40" w:after="80"/>
        <w:ind w:left="432" w:hanging="432"/>
      </w:pPr>
      <w:r>
        <w:rPr>
          <w:rFonts w:ascii="Times New Roman" w:hAnsi="Times New Roman"/>
          <w:sz w:val="17"/>
        </w:rPr>
        <w:t>[1] L. Gross, "Abstract Wiener spaces," in Proc. 5th Berkeley Symp. Math. Stat. and Probab., vol. 2, part 1, 1965, pp. 31–42.</w:t>
      </w:r>
    </w:p>
    <w:p>
      <w:pPr>
        <w:spacing w:before="40" w:after="80"/>
        <w:ind w:left="432" w:hanging="432"/>
      </w:pPr>
      <w:r>
        <w:rPr>
          <w:rFonts w:ascii="Times New Roman" w:hAnsi="Times New Roman"/>
          <w:sz w:val="17"/>
        </w:rPr>
        <w:t>[2] K. Ito, "Stochastic integral," Proc. Imp. Acad. Tokyo, vol. 20, no. 8, pp. 519–524, 1944.</w:t>
      </w:r>
    </w:p>
    <w:p>
      <w:pPr>
        <w:spacing w:before="40" w:after="80"/>
        <w:ind w:left="432" w:hanging="432"/>
      </w:pPr>
      <w:r>
        <w:rPr>
          <w:rFonts w:ascii="Times New Roman" w:hAnsi="Times New Roman"/>
          <w:sz w:val="17"/>
        </w:rPr>
        <w:t>[3] H. P. McKean, Stochastic Integrals. New York, NY, USA: Academic Press, 1969.</w:t>
      </w:r>
    </w:p>
    <w:p>
      <w:pPr>
        <w:spacing w:before="40" w:after="80"/>
        <w:ind w:left="432" w:hanging="432"/>
      </w:pPr>
      <w:r>
        <w:rPr>
          <w:rFonts w:ascii="Times New Roman" w:hAnsi="Times New Roman"/>
          <w:sz w:val="17"/>
        </w:rPr>
        <w:t>[4] IEEE Editorial Style Manual, IEEE Author Center, 2021. [Online]. Available: https://ieeeauthorcenter.ieee.org/</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